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Default="0048558A" w:rsidP="009D0AAB">
      <w:pPr>
        <w:spacing w:after="0" w:line="240" w:lineRule="auto"/>
        <w:rPr>
          <w:rFonts w:ascii="Times New Roman" w:hAnsi="Times New Roman" w:cs="Times New Roman"/>
          <w:b/>
          <w:bCs/>
          <w:sz w:val="24"/>
          <w:szCs w:val="24"/>
        </w:rPr>
      </w:pPr>
    </w:p>
    <w:p w14:paraId="49F6926D" w14:textId="7C950761" w:rsidR="00A345C2" w:rsidRDefault="00FA2F99" w:rsidP="009D0AAB">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Fellini</w:t>
      </w:r>
      <w:proofErr w:type="spellEnd"/>
      <w:r>
        <w:rPr>
          <w:rFonts w:ascii="Times New Roman" w:hAnsi="Times New Roman" w:cs="Times New Roman"/>
          <w:b/>
          <w:bCs/>
          <w:sz w:val="24"/>
          <w:szCs w:val="24"/>
        </w:rPr>
        <w:t xml:space="preserve"> aed</w:t>
      </w:r>
      <w:r w:rsidR="006C2AAF">
        <w:rPr>
          <w:rFonts w:ascii="Times New Roman" w:hAnsi="Times New Roman" w:cs="Times New Roman"/>
          <w:b/>
          <w:bCs/>
          <w:sz w:val="24"/>
          <w:szCs w:val="24"/>
        </w:rPr>
        <w:t xml:space="preserve"> (DP3</w:t>
      </w:r>
      <w:r>
        <w:rPr>
          <w:rFonts w:ascii="Times New Roman" w:hAnsi="Times New Roman" w:cs="Times New Roman"/>
          <w:b/>
          <w:bCs/>
          <w:sz w:val="24"/>
          <w:szCs w:val="24"/>
        </w:rPr>
        <w:t>42</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 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68E2247E"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Ärimaa (Ä), Maatulundusmaa (M). Võimalikud kõrvaotstarbed määrata detailplaneeringuga.</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EE823FC"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1427DC1C" w:rsidR="00005734" w:rsidRPr="0057656F" w:rsidRDefault="00FA2F99" w:rsidP="0057656F">
            <w:pPr>
              <w:jc w:val="both"/>
              <w:rPr>
                <w:rFonts w:ascii="Times New Roman" w:hAnsi="Times New Roman" w:cs="Times New Roman"/>
                <w:sz w:val="24"/>
                <w:szCs w:val="24"/>
              </w:rPr>
            </w:pPr>
            <w:r w:rsidRPr="00FA2F99">
              <w:rPr>
                <w:rFonts w:ascii="Times New Roman" w:hAnsi="Times New Roman" w:cs="Times New Roman"/>
                <w:sz w:val="24"/>
                <w:szCs w:val="24"/>
              </w:rPr>
              <w:t>Detailplaneeringu eesmärgiks on määrata ehitusõigus puhkuseteenuseid</w:t>
            </w:r>
            <w:r>
              <w:rPr>
                <w:rFonts w:ascii="Times New Roman" w:hAnsi="Times New Roman" w:cs="Times New Roman"/>
                <w:sz w:val="24"/>
                <w:szCs w:val="24"/>
              </w:rPr>
              <w:t xml:space="preserve"> </w:t>
            </w:r>
            <w:r w:rsidRPr="00FA2F99">
              <w:rPr>
                <w:rFonts w:ascii="Times New Roman" w:hAnsi="Times New Roman" w:cs="Times New Roman"/>
                <w:sz w:val="24"/>
                <w:szCs w:val="24"/>
              </w:rPr>
              <w:t xml:space="preserve">pakkuvate hoonete ehitamiseks ja pargimaastiku lahenduseks. </w:t>
            </w:r>
            <w:r w:rsidRPr="00763BB0">
              <w:rPr>
                <w:rFonts w:ascii="Times New Roman" w:hAnsi="Times New Roman" w:cs="Times New Roman"/>
                <w:sz w:val="24"/>
                <w:szCs w:val="24"/>
              </w:rPr>
              <w:t xml:space="preserve">Detailplaneeringuala suurus on ligikaudu </w:t>
            </w:r>
            <w:r w:rsidR="00763BB0" w:rsidRPr="00763BB0">
              <w:rPr>
                <w:rFonts w:ascii="Times New Roman" w:hAnsi="Times New Roman" w:cs="Times New Roman"/>
                <w:sz w:val="24"/>
                <w:szCs w:val="24"/>
              </w:rPr>
              <w:t>41,2</w:t>
            </w:r>
            <w:r w:rsidRPr="00763BB0">
              <w:rPr>
                <w:rFonts w:ascii="Times New Roman" w:hAnsi="Times New Roman" w:cs="Times New Roman"/>
                <w:sz w:val="24"/>
                <w:szCs w:val="24"/>
              </w:rPr>
              <w:t xml:space="preserve"> ha.</w:t>
            </w:r>
          </w:p>
        </w:tc>
      </w:tr>
      <w:tr w:rsidR="009F5699" w14:paraId="2FB67B5A" w14:textId="77777777" w:rsidTr="00327F1E">
        <w:tc>
          <w:tcPr>
            <w:tcW w:w="704" w:type="dxa"/>
          </w:tcPr>
          <w:p w14:paraId="494ABFE3" w14:textId="572A98D3" w:rsidR="009F5699" w:rsidRDefault="00195058">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4</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B1510B2"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25139A6E" w14:textId="77777777" w:rsidTr="00327F1E">
        <w:tc>
          <w:tcPr>
            <w:tcW w:w="704" w:type="dxa"/>
          </w:tcPr>
          <w:p w14:paraId="06A709A9" w14:textId="5D78F230" w:rsidR="009F5699" w:rsidRDefault="00763EF1">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5</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7BD549D7"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4639EF49" w14:textId="77777777" w:rsidTr="00327F1E">
        <w:tc>
          <w:tcPr>
            <w:tcW w:w="704" w:type="dxa"/>
          </w:tcPr>
          <w:p w14:paraId="7C1837D6" w14:textId="28FA66F3" w:rsidR="009F5699" w:rsidRDefault="004A3533">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6</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562EF41B"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94C2F80" w:rsidR="00FB179D" w:rsidRPr="009E694D" w:rsidRDefault="009D0AAB" w:rsidP="00007A60">
            <w:pPr>
              <w:jc w:val="both"/>
              <w:rPr>
                <w:rFonts w:ascii="Times New Roman" w:hAnsi="Times New Roman" w:cs="Times New Roman"/>
                <w:sz w:val="24"/>
                <w:szCs w:val="24"/>
              </w:rPr>
            </w:pPr>
            <w:r>
              <w:rPr>
                <w:rFonts w:ascii="Times New Roman" w:hAnsi="Times New Roman" w:cs="Times New Roman"/>
                <w:sz w:val="24"/>
                <w:szCs w:val="24"/>
              </w:rPr>
              <w:t>D</w:t>
            </w:r>
            <w:r w:rsidR="009E694D" w:rsidRPr="009E694D">
              <w:rPr>
                <w:rFonts w:ascii="Times New Roman" w:hAnsi="Times New Roman" w:cs="Times New Roman"/>
                <w:sz w:val="24"/>
                <w:szCs w:val="24"/>
              </w:rPr>
              <w:t>etailplaneeringuga tuleb lahendada planeerimisseaduse §</w:t>
            </w:r>
            <w:r w:rsidR="00007A60">
              <w:rPr>
                <w:rFonts w:ascii="Times New Roman" w:hAnsi="Times New Roman" w:cs="Times New Roman"/>
                <w:sz w:val="24"/>
                <w:szCs w:val="24"/>
              </w:rPr>
              <w:t> </w:t>
            </w:r>
            <w:r w:rsidR="009E694D" w:rsidRPr="009E694D">
              <w:rPr>
                <w:rFonts w:ascii="Times New Roman" w:hAnsi="Times New Roman" w:cs="Times New Roman"/>
                <w:sz w:val="24"/>
                <w:szCs w:val="24"/>
              </w:rPr>
              <w:t>126 lg 1 p</w:t>
            </w:r>
            <w:r>
              <w:rPr>
                <w:rFonts w:ascii="Times New Roman" w:hAnsi="Times New Roman" w:cs="Times New Roman"/>
                <w:sz w:val="24"/>
                <w:szCs w:val="24"/>
              </w:rPr>
              <w:t>-</w:t>
            </w:r>
            <w:r w:rsidR="009E694D" w:rsidRPr="00041495">
              <w:rPr>
                <w:rFonts w:ascii="Times New Roman" w:hAnsi="Times New Roman" w:cs="Times New Roman"/>
                <w:sz w:val="24"/>
                <w:szCs w:val="24"/>
              </w:rPr>
              <w:t>des 1 kuni</w:t>
            </w:r>
            <w:r w:rsidR="00041495" w:rsidRPr="00041495">
              <w:rPr>
                <w:rFonts w:ascii="Times New Roman" w:hAnsi="Times New Roman" w:cs="Times New Roman"/>
                <w:sz w:val="24"/>
                <w:szCs w:val="24"/>
              </w:rPr>
              <w:t xml:space="preserve"> </w:t>
            </w:r>
            <w:r w:rsidR="009E694D" w:rsidRPr="00041495">
              <w:rPr>
                <w:rFonts w:ascii="Times New Roman" w:hAnsi="Times New Roman" w:cs="Times New Roman"/>
                <w:sz w:val="24"/>
                <w:szCs w:val="24"/>
              </w:rPr>
              <w:t>1</w:t>
            </w:r>
            <w:r w:rsidR="00FA2F99">
              <w:rPr>
                <w:rFonts w:ascii="Times New Roman" w:hAnsi="Times New Roman" w:cs="Times New Roman"/>
                <w:sz w:val="24"/>
                <w:szCs w:val="24"/>
              </w:rPr>
              <w:t>3</w:t>
            </w:r>
            <w:r w:rsidR="009E694D" w:rsidRPr="00041495">
              <w:rPr>
                <w:rFonts w:ascii="Times New Roman" w:hAnsi="Times New Roman" w:cs="Times New Roman"/>
                <w:sz w:val="24"/>
                <w:szCs w:val="24"/>
              </w:rPr>
              <w:t xml:space="preserve"> </w:t>
            </w:r>
            <w:r w:rsidR="00041495" w:rsidRPr="00041495">
              <w:rPr>
                <w:rFonts w:ascii="Times New Roman" w:hAnsi="Times New Roman" w:cs="Times New Roman"/>
                <w:sz w:val="24"/>
                <w:szCs w:val="24"/>
              </w:rPr>
              <w:t xml:space="preserve">ja </w:t>
            </w:r>
            <w:r w:rsidR="00FA2F99">
              <w:rPr>
                <w:rFonts w:ascii="Times New Roman" w:hAnsi="Times New Roman" w:cs="Times New Roman"/>
                <w:sz w:val="24"/>
                <w:szCs w:val="24"/>
              </w:rPr>
              <w:t>17</w:t>
            </w:r>
            <w:r w:rsidR="00041495" w:rsidRPr="00041495">
              <w:rPr>
                <w:rFonts w:ascii="Times New Roman" w:hAnsi="Times New Roman" w:cs="Times New Roman"/>
                <w:sz w:val="24"/>
                <w:szCs w:val="24"/>
              </w:rPr>
              <w:t xml:space="preserve"> </w:t>
            </w:r>
            <w:r w:rsidR="009E694D" w:rsidRPr="009E694D">
              <w:rPr>
                <w:rFonts w:ascii="Times New Roman" w:hAnsi="Times New Roman" w:cs="Times New Roman"/>
                <w:sz w:val="24"/>
                <w:szCs w:val="24"/>
              </w:rPr>
              <w:t>sätestatud ülesanded</w:t>
            </w:r>
            <w:r w:rsidR="00725878">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0EC546F0" w14:textId="566365F6"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98510C">
              <w:rPr>
                <w:rFonts w:ascii="Times New Roman" w:hAnsi="Times New Roman" w:cs="Times New Roman"/>
                <w:sz w:val="24"/>
                <w:szCs w:val="24"/>
              </w:rPr>
              <w:t>Saarepeedi</w:t>
            </w:r>
            <w:r w:rsidRPr="00BD010E">
              <w:rPr>
                <w:rFonts w:ascii="Times New Roman" w:hAnsi="Times New Roman" w:cs="Times New Roman"/>
                <w:sz w:val="24"/>
                <w:szCs w:val="24"/>
              </w:rPr>
              <w:t xml:space="preserve"> Vallavolikogu </w:t>
            </w:r>
            <w:r w:rsidR="0098510C" w:rsidRPr="0098510C">
              <w:rPr>
                <w:rFonts w:ascii="Times New Roman" w:hAnsi="Times New Roman" w:cs="Times New Roman"/>
                <w:sz w:val="24"/>
                <w:szCs w:val="24"/>
              </w:rPr>
              <w:t>11.12.2008</w:t>
            </w:r>
            <w:r w:rsidR="0098510C">
              <w:rPr>
                <w:rFonts w:ascii="Times New Roman" w:hAnsi="Times New Roman" w:cs="Times New Roman"/>
                <w:sz w:val="24"/>
                <w:szCs w:val="24"/>
              </w:rPr>
              <w:t xml:space="preserve"> </w:t>
            </w:r>
            <w:r w:rsidRPr="00BD010E">
              <w:rPr>
                <w:rFonts w:ascii="Times New Roman" w:hAnsi="Times New Roman" w:cs="Times New Roman"/>
                <w:sz w:val="24"/>
                <w:szCs w:val="24"/>
              </w:rPr>
              <w:t xml:space="preserve">määruse nr </w:t>
            </w:r>
            <w:r w:rsidR="0098510C">
              <w:rPr>
                <w:rFonts w:ascii="Times New Roman" w:hAnsi="Times New Roman" w:cs="Times New Roman"/>
                <w:sz w:val="24"/>
                <w:szCs w:val="24"/>
              </w:rPr>
              <w:t>65</w:t>
            </w:r>
            <w:r w:rsidRPr="00BD010E">
              <w:rPr>
                <w:rFonts w:ascii="Times New Roman" w:hAnsi="Times New Roman" w:cs="Times New Roman"/>
                <w:sz w:val="24"/>
                <w:szCs w:val="24"/>
              </w:rPr>
              <w:t xml:space="preserve"> „</w:t>
            </w:r>
            <w:r w:rsidR="0098510C" w:rsidRPr="0098510C">
              <w:rPr>
                <w:rFonts w:ascii="Times New Roman" w:hAnsi="Times New Roman" w:cs="Times New Roman"/>
                <w:sz w:val="24"/>
                <w:szCs w:val="24"/>
              </w:rPr>
              <w:t>Saarepeedi valla üldplaneeringu kehtestamine</w:t>
            </w:r>
            <w:r w:rsidRPr="00BD010E">
              <w:rPr>
                <w:rFonts w:ascii="Times New Roman" w:hAnsi="Times New Roman" w:cs="Times New Roman"/>
                <w:sz w:val="24"/>
                <w:szCs w:val="24"/>
              </w:rPr>
              <w:t xml:space="preserve">“ kehtestatud </w:t>
            </w:r>
            <w:r w:rsidR="0098510C">
              <w:rPr>
                <w:rFonts w:ascii="Times New Roman" w:hAnsi="Times New Roman" w:cs="Times New Roman"/>
                <w:sz w:val="24"/>
                <w:szCs w:val="24"/>
              </w:rPr>
              <w:t>Saarepeedi valla</w:t>
            </w:r>
            <w:r w:rsidRPr="00BD010E">
              <w:rPr>
                <w:rFonts w:ascii="Times New Roman" w:hAnsi="Times New Roman" w:cs="Times New Roman"/>
                <w:sz w:val="24"/>
                <w:szCs w:val="24"/>
              </w:rPr>
              <w:t xml:space="preserve"> üldplaneering</w:t>
            </w:r>
            <w:r w:rsidR="00E055BA">
              <w:rPr>
                <w:rFonts w:ascii="Times New Roman" w:hAnsi="Times New Roman" w:cs="Times New Roman"/>
                <w:sz w:val="24"/>
                <w:szCs w:val="24"/>
              </w:rPr>
              <w:t>.</w:t>
            </w:r>
          </w:p>
          <w:p w14:paraId="54A9B144" w14:textId="147A7D9A"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77777777"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Default="00F12E09" w:rsidP="00007A60">
            <w:pPr>
              <w:jc w:val="both"/>
              <w:rPr>
                <w:rFonts w:ascii="Times New Roman" w:hAnsi="Times New Roman" w:cs="Times New Roman"/>
                <w:sz w:val="24"/>
                <w:szCs w:val="24"/>
              </w:rPr>
            </w:pPr>
            <w:r>
              <w:rPr>
                <w:rFonts w:ascii="Times New Roman" w:hAnsi="Times New Roman" w:cs="Times New Roman"/>
                <w:sz w:val="24"/>
                <w:szCs w:val="24"/>
              </w:rPr>
              <w:t>Krundijaotus määrata</w:t>
            </w:r>
            <w:r w:rsidR="008426E2">
              <w:rPr>
                <w:rFonts w:ascii="Times New Roman" w:hAnsi="Times New Roman" w:cs="Times New Roman"/>
                <w:sz w:val="24"/>
                <w:szCs w:val="24"/>
              </w:rPr>
              <w:t xml:space="preserve"> </w:t>
            </w:r>
            <w:r>
              <w:rPr>
                <w:rFonts w:ascii="Times New Roman" w:hAnsi="Times New Roman" w:cs="Times New Roman"/>
                <w:sz w:val="24"/>
                <w:szCs w:val="24"/>
              </w:rPr>
              <w:t>detailplaneeringuga</w:t>
            </w:r>
            <w:r w:rsidR="00007A60">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w:t>
            </w:r>
            <w:r w:rsidRPr="00A826D2">
              <w:rPr>
                <w:rFonts w:ascii="Times New Roman" w:hAnsi="Times New Roman" w:cs="Times New Roman"/>
                <w:sz w:val="24"/>
                <w:szCs w:val="24"/>
              </w:rPr>
              <w:lastRenderedPageBreak/>
              <w:t>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5F12FB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lastRenderedPageBreak/>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6CA1AF1A"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doc</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3D02E26B"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2024-2026</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4D7A1208" w14:textId="1E354E33" w:rsidR="00970492" w:rsidRDefault="00970492" w:rsidP="00A97EEB">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5B625D99" w14:textId="77777777"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w:t>
            </w:r>
            <w:r w:rsidR="00E14681">
              <w:rPr>
                <w:rFonts w:ascii="Times New Roman" w:hAnsi="Times New Roman" w:cs="Times New Roman"/>
                <w:sz w:val="24"/>
                <w:szCs w:val="24"/>
              </w:rPr>
              <w:t xml:space="preserve"> </w:t>
            </w:r>
            <w:r w:rsidR="0098510C" w:rsidRPr="0098510C">
              <w:rPr>
                <w:rFonts w:ascii="Times New Roman" w:hAnsi="Times New Roman" w:cs="Times New Roman"/>
                <w:sz w:val="24"/>
                <w:szCs w:val="24"/>
              </w:rPr>
              <w:t>Keskkonnaamet;</w:t>
            </w:r>
          </w:p>
          <w:p w14:paraId="67ADB057" w14:textId="3EF619D9" w:rsidR="0098510C" w:rsidRPr="00176C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Maa- ja Ruumiamet (endine </w:t>
            </w:r>
            <w:r w:rsidRPr="0098510C">
              <w:rPr>
                <w:rFonts w:ascii="Times New Roman" w:hAnsi="Times New Roman" w:cs="Times New Roman"/>
                <w:sz w:val="24"/>
                <w:szCs w:val="24"/>
              </w:rPr>
              <w:t xml:space="preserve">Põllumajandus- ja </w:t>
            </w:r>
            <w:r w:rsidRPr="00176C0C">
              <w:rPr>
                <w:rFonts w:ascii="Times New Roman" w:hAnsi="Times New Roman" w:cs="Times New Roman"/>
                <w:sz w:val="24"/>
                <w:szCs w:val="24"/>
              </w:rPr>
              <w:t>Toiduamet</w:t>
            </w:r>
            <w:r w:rsidR="00703484" w:rsidRPr="00176C0C">
              <w:rPr>
                <w:rFonts w:ascii="Times New Roman" w:hAnsi="Times New Roman" w:cs="Times New Roman"/>
                <w:sz w:val="24"/>
                <w:szCs w:val="24"/>
              </w:rPr>
              <w:t xml:space="preserve">; </w:t>
            </w:r>
            <w:r w:rsidR="00703484" w:rsidRPr="00176C0C">
              <w:rPr>
                <w:rFonts w:ascii="Times New Roman" w:hAnsi="Times New Roman" w:cs="Times New Roman"/>
                <w:bCs/>
                <w:sz w:val="24"/>
                <w:szCs w:val="24"/>
              </w:rPr>
              <w:t>maaparanduse ja riigimaade teenistuse maaparanduse osakond</w:t>
            </w:r>
            <w:r w:rsidRPr="00176C0C">
              <w:rPr>
                <w:rFonts w:ascii="Times New Roman" w:hAnsi="Times New Roman" w:cs="Times New Roman"/>
                <w:sz w:val="24"/>
                <w:szCs w:val="24"/>
              </w:rPr>
              <w:t>);</w:t>
            </w:r>
          </w:p>
          <w:p w14:paraId="0D52D9D1" w14:textId="77777777" w:rsidR="0098510C" w:rsidRPr="0098510C" w:rsidRDefault="0098510C" w:rsidP="0098510C">
            <w:pPr>
              <w:jc w:val="both"/>
              <w:rPr>
                <w:rFonts w:ascii="Times New Roman" w:hAnsi="Times New Roman" w:cs="Times New Roman"/>
                <w:sz w:val="24"/>
                <w:szCs w:val="24"/>
              </w:rPr>
            </w:pPr>
            <w:r w:rsidRPr="00176C0C">
              <w:rPr>
                <w:rFonts w:ascii="Times New Roman" w:hAnsi="Times New Roman" w:cs="Times New Roman"/>
                <w:sz w:val="24"/>
                <w:szCs w:val="24"/>
              </w:rPr>
              <w:t>* Transpordiamet;</w:t>
            </w:r>
          </w:p>
          <w:p w14:paraId="3E7AE318" w14:textId="77777777" w:rsidR="0098510C" w:rsidRPr="009851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 Muinsuskaitseamet;</w:t>
            </w:r>
          </w:p>
          <w:p w14:paraId="21F1C509" w14:textId="37A59436" w:rsidR="009851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7E5B0DE1" w14:textId="7DF5709D" w:rsidR="00970492"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40A713D4"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sidR="00E14681">
              <w:rPr>
                <w:rFonts w:ascii="Times New Roman" w:hAnsi="Times New Roman" w:cs="Times New Roman"/>
                <w:sz w:val="24"/>
                <w:szCs w:val="24"/>
              </w:rPr>
              <w:t xml:space="preserve"> </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4875A877" w14:textId="77777777" w:rsidR="0098510C" w:rsidRDefault="00970492" w:rsidP="00A97EEB">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0098510C" w:rsidRPr="00C857A5">
              <w:rPr>
                <w:rFonts w:ascii="Times New Roman" w:hAnsi="Times New Roman" w:cs="Times New Roman"/>
                <w:sz w:val="24"/>
                <w:szCs w:val="24"/>
              </w:rPr>
              <w:t>OÜ ODA</w:t>
            </w:r>
            <w:r w:rsidR="0098510C">
              <w:rPr>
                <w:rFonts w:ascii="Times New Roman" w:hAnsi="Times New Roman" w:cs="Times New Roman"/>
                <w:sz w:val="24"/>
                <w:szCs w:val="24"/>
              </w:rPr>
              <w:t>;</w:t>
            </w:r>
          </w:p>
          <w:p w14:paraId="25F4D1FA" w14:textId="77777777" w:rsidR="0098510C" w:rsidRDefault="00970492" w:rsidP="0098510C">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0098510C" w:rsidRPr="00C857A5">
              <w:rPr>
                <w:rFonts w:ascii="Times New Roman" w:hAnsi="Times New Roman" w:cs="Times New Roman"/>
                <w:sz w:val="24"/>
                <w:szCs w:val="24"/>
              </w:rPr>
              <w:t>AS Põlluvara</w:t>
            </w:r>
            <w:r w:rsidR="0098510C">
              <w:rPr>
                <w:rFonts w:ascii="Times New Roman" w:hAnsi="Times New Roman" w:cs="Times New Roman"/>
                <w:sz w:val="24"/>
                <w:szCs w:val="24"/>
              </w:rPr>
              <w:t>;</w:t>
            </w:r>
          </w:p>
          <w:p w14:paraId="3F9AEB16" w14:textId="46F96A71" w:rsidR="00970492" w:rsidRPr="00970492" w:rsidRDefault="00970492" w:rsidP="00A97EEB">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0098510C" w:rsidRPr="00B50F45">
              <w:rPr>
                <w:rFonts w:ascii="Times New Roman" w:hAnsi="Times New Roman" w:cs="Times New Roman"/>
                <w:sz w:val="24"/>
                <w:szCs w:val="24"/>
              </w:rPr>
              <w:t>71501:002:0441</w:t>
            </w:r>
            <w:r w:rsidR="00E14161">
              <w:rPr>
                <w:rFonts w:ascii="Times New Roman" w:hAnsi="Times New Roman" w:cs="Times New Roman"/>
                <w:sz w:val="24"/>
                <w:szCs w:val="24"/>
              </w:rPr>
              <w:t xml:space="preserve"> (Etno)</w:t>
            </w:r>
            <w:r w:rsidR="0098510C">
              <w:rPr>
                <w:rFonts w:ascii="Times New Roman" w:hAnsi="Times New Roman" w:cs="Times New Roman"/>
                <w:sz w:val="24"/>
                <w:szCs w:val="24"/>
              </w:rPr>
              <w:t>;</w:t>
            </w:r>
          </w:p>
          <w:p w14:paraId="353974B9" w14:textId="11E6566E"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510C" w:rsidRPr="00C73A22">
              <w:rPr>
                <w:rFonts w:ascii="Times New Roman" w:hAnsi="Times New Roman" w:cs="Times New Roman"/>
                <w:sz w:val="24"/>
                <w:szCs w:val="24"/>
              </w:rPr>
              <w:t>71501:002:0028</w:t>
            </w:r>
            <w:r w:rsidR="00E14161">
              <w:rPr>
                <w:rFonts w:ascii="Times New Roman" w:hAnsi="Times New Roman" w:cs="Times New Roman"/>
                <w:sz w:val="24"/>
                <w:szCs w:val="24"/>
              </w:rPr>
              <w:t xml:space="preserve"> (Järve tee 6)</w:t>
            </w:r>
            <w:r>
              <w:rPr>
                <w:rFonts w:ascii="Times New Roman" w:eastAsia="Times New Roman" w:hAnsi="Times New Roman" w:cs="Times New Roman"/>
                <w:sz w:val="24"/>
                <w:szCs w:val="24"/>
              </w:rPr>
              <w:t>;</w:t>
            </w:r>
          </w:p>
          <w:p w14:paraId="783FACDA" w14:textId="06091D62"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510C" w:rsidRPr="00C73A22">
              <w:rPr>
                <w:rFonts w:ascii="Times New Roman" w:hAnsi="Times New Roman" w:cs="Times New Roman"/>
                <w:sz w:val="24"/>
                <w:szCs w:val="24"/>
              </w:rPr>
              <w:t>71501:002:1050</w:t>
            </w:r>
            <w:r w:rsidR="00E14161">
              <w:rPr>
                <w:rFonts w:ascii="Times New Roman" w:hAnsi="Times New Roman" w:cs="Times New Roman"/>
                <w:sz w:val="24"/>
                <w:szCs w:val="24"/>
              </w:rPr>
              <w:t xml:space="preserve"> (Järve tee 8)</w:t>
            </w:r>
            <w:r>
              <w:rPr>
                <w:rFonts w:ascii="Times New Roman" w:eastAsia="Times New Roman" w:hAnsi="Times New Roman" w:cs="Times New Roman"/>
                <w:sz w:val="24"/>
                <w:szCs w:val="24"/>
              </w:rPr>
              <w:t>;</w:t>
            </w:r>
          </w:p>
          <w:p w14:paraId="477BBB90" w14:textId="418C8BAE" w:rsidR="0098510C" w:rsidRDefault="0098510C" w:rsidP="00A97EEB">
            <w:pPr>
              <w:jc w:val="both"/>
              <w:rPr>
                <w:rFonts w:ascii="Times New Roman" w:hAnsi="Times New Roman" w:cs="Times New Roman"/>
                <w:sz w:val="24"/>
                <w:szCs w:val="24"/>
              </w:rPr>
            </w:pPr>
            <w:r>
              <w:rPr>
                <w:rFonts w:ascii="Times New Roman" w:hAnsi="Times New Roman" w:cs="Times New Roman"/>
                <w:sz w:val="24"/>
                <w:szCs w:val="24"/>
              </w:rPr>
              <w:t>*</w:t>
            </w:r>
            <w:r w:rsidR="00061167">
              <w:rPr>
                <w:rFonts w:ascii="Times New Roman" w:hAnsi="Times New Roman" w:cs="Times New Roman"/>
                <w:sz w:val="24"/>
                <w:szCs w:val="24"/>
              </w:rPr>
              <w:t xml:space="preserve"> </w:t>
            </w:r>
            <w:r w:rsidRPr="00C73A22">
              <w:rPr>
                <w:rFonts w:ascii="Times New Roman" w:hAnsi="Times New Roman" w:cs="Times New Roman"/>
                <w:sz w:val="24"/>
                <w:szCs w:val="24"/>
              </w:rPr>
              <w:t>71501:002:0433</w:t>
            </w:r>
            <w:r w:rsidR="00E14161">
              <w:rPr>
                <w:rFonts w:ascii="Times New Roman" w:hAnsi="Times New Roman" w:cs="Times New Roman"/>
                <w:sz w:val="24"/>
                <w:szCs w:val="24"/>
              </w:rPr>
              <w:t xml:space="preserve"> (</w:t>
            </w:r>
            <w:r w:rsidR="00E14161" w:rsidRPr="00E14161">
              <w:rPr>
                <w:rFonts w:ascii="Times New Roman" w:hAnsi="Times New Roman" w:cs="Times New Roman"/>
                <w:sz w:val="24"/>
                <w:szCs w:val="24"/>
              </w:rPr>
              <w:t xml:space="preserve">Järve tee 2 // 2a // Karula ring 1 // 5 // </w:t>
            </w:r>
            <w:r w:rsidR="00E14161">
              <w:rPr>
                <w:rFonts w:ascii="Times New Roman" w:hAnsi="Times New Roman" w:cs="Times New Roman"/>
                <w:sz w:val="24"/>
                <w:szCs w:val="24"/>
              </w:rPr>
              <w:t xml:space="preserve"> </w:t>
            </w:r>
            <w:r w:rsidR="00E14161" w:rsidRPr="00E14161">
              <w:rPr>
                <w:rFonts w:ascii="Times New Roman" w:hAnsi="Times New Roman" w:cs="Times New Roman"/>
                <w:sz w:val="24"/>
                <w:szCs w:val="24"/>
              </w:rPr>
              <w:t>Pargi tee 4 // 4a // 4b</w:t>
            </w:r>
            <w:r w:rsidR="00E14161">
              <w:rPr>
                <w:rFonts w:ascii="Times New Roman" w:hAnsi="Times New Roman" w:cs="Times New Roman"/>
                <w:sz w:val="24"/>
                <w:szCs w:val="24"/>
              </w:rPr>
              <w:t>)</w:t>
            </w:r>
            <w:r>
              <w:rPr>
                <w:rFonts w:ascii="Times New Roman" w:hAnsi="Times New Roman" w:cs="Times New Roman"/>
                <w:sz w:val="24"/>
                <w:szCs w:val="24"/>
              </w:rPr>
              <w:t>;</w:t>
            </w:r>
          </w:p>
          <w:p w14:paraId="1CC93953" w14:textId="47D75BCA" w:rsidR="00061167" w:rsidRDefault="00061167" w:rsidP="00A97EEB">
            <w:pPr>
              <w:jc w:val="both"/>
              <w:rPr>
                <w:rFonts w:ascii="Times New Roman" w:hAnsi="Times New Roman" w:cs="Times New Roman"/>
                <w:sz w:val="24"/>
                <w:szCs w:val="24"/>
              </w:rPr>
            </w:pPr>
            <w:r>
              <w:rPr>
                <w:rFonts w:ascii="Times New Roman" w:hAnsi="Times New Roman" w:cs="Times New Roman"/>
                <w:sz w:val="24"/>
                <w:szCs w:val="24"/>
              </w:rPr>
              <w:t xml:space="preserve">* </w:t>
            </w:r>
            <w:r w:rsidRPr="00C73A22">
              <w:rPr>
                <w:rFonts w:ascii="Times New Roman" w:hAnsi="Times New Roman" w:cs="Times New Roman"/>
                <w:sz w:val="24"/>
                <w:szCs w:val="24"/>
              </w:rPr>
              <w:t>71501:002:0029</w:t>
            </w:r>
            <w:r>
              <w:rPr>
                <w:rFonts w:ascii="Times New Roman" w:hAnsi="Times New Roman" w:cs="Times New Roman"/>
                <w:sz w:val="24"/>
                <w:szCs w:val="24"/>
              </w:rPr>
              <w:t xml:space="preserve"> (Karujärve);</w:t>
            </w:r>
          </w:p>
          <w:p w14:paraId="185505FC" w14:textId="16AEEA6F" w:rsidR="00E14161" w:rsidRPr="00A95C9A" w:rsidRDefault="00E14161" w:rsidP="00A97EEB">
            <w:pPr>
              <w:jc w:val="both"/>
              <w:rPr>
                <w:rFonts w:ascii="Times New Roman" w:hAnsi="Times New Roman" w:cs="Times New Roman"/>
                <w:sz w:val="24"/>
                <w:szCs w:val="24"/>
              </w:rPr>
            </w:pPr>
            <w:r>
              <w:rPr>
                <w:rFonts w:ascii="Times New Roman" w:hAnsi="Times New Roman" w:cs="Times New Roman"/>
                <w:sz w:val="24"/>
                <w:szCs w:val="24"/>
              </w:rPr>
              <w:lastRenderedPageBreak/>
              <w:t>* 7</w:t>
            </w:r>
            <w:r w:rsidRPr="00E14161">
              <w:rPr>
                <w:rFonts w:ascii="Times New Roman" w:hAnsi="Times New Roman" w:cs="Times New Roman"/>
                <w:sz w:val="24"/>
                <w:szCs w:val="24"/>
              </w:rPr>
              <w:t>1501:002:0132</w:t>
            </w:r>
            <w:r>
              <w:rPr>
                <w:rFonts w:ascii="Times New Roman" w:hAnsi="Times New Roman" w:cs="Times New Roman"/>
                <w:sz w:val="24"/>
                <w:szCs w:val="24"/>
              </w:rPr>
              <w:t xml:space="preserve"> (Oru-Veske);</w:t>
            </w:r>
          </w:p>
          <w:p w14:paraId="679F68E6" w14:textId="159F7439"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71501:002:0486</w:t>
            </w:r>
            <w:r>
              <w:rPr>
                <w:rFonts w:ascii="Times New Roman" w:eastAsia="Times New Roman" w:hAnsi="Times New Roman" w:cs="Times New Roman"/>
                <w:sz w:val="24"/>
                <w:szCs w:val="24"/>
              </w:rPr>
              <w:t xml:space="preserve"> (Pauli kõrts);</w:t>
            </w:r>
          </w:p>
          <w:p w14:paraId="59484610" w14:textId="25993F71"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71501:002:0482</w:t>
            </w:r>
            <w:r>
              <w:rPr>
                <w:rFonts w:ascii="Times New Roman" w:eastAsia="Times New Roman" w:hAnsi="Times New Roman" w:cs="Times New Roman"/>
                <w:sz w:val="24"/>
                <w:szCs w:val="24"/>
              </w:rPr>
              <w:t xml:space="preserve"> (Taara);</w:t>
            </w:r>
          </w:p>
          <w:p w14:paraId="094CC99A" w14:textId="1E62FF87"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71501:002:0032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Kivila</w:t>
            </w:r>
            <w:proofErr w:type="spellEnd"/>
            <w:r>
              <w:rPr>
                <w:rFonts w:ascii="Times New Roman" w:eastAsia="Times New Roman" w:hAnsi="Times New Roman" w:cs="Times New Roman"/>
                <w:sz w:val="24"/>
                <w:szCs w:val="24"/>
              </w:rPr>
              <w:t>);</w:t>
            </w:r>
          </w:p>
          <w:p w14:paraId="5C0BC114" w14:textId="3E080551"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89901:001:2187</w:t>
            </w:r>
            <w:r>
              <w:rPr>
                <w:rFonts w:ascii="Times New Roman" w:eastAsia="Times New Roman" w:hAnsi="Times New Roman" w:cs="Times New Roman"/>
                <w:sz w:val="24"/>
                <w:szCs w:val="24"/>
              </w:rPr>
              <w:t xml:space="preserve"> (Joeli);</w:t>
            </w:r>
          </w:p>
          <w:p w14:paraId="4DDAE601" w14:textId="57076033"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71501:002:1800</w:t>
            </w:r>
            <w:r>
              <w:rPr>
                <w:rFonts w:ascii="Times New Roman" w:eastAsia="Times New Roman" w:hAnsi="Times New Roman" w:cs="Times New Roman"/>
                <w:sz w:val="24"/>
                <w:szCs w:val="24"/>
              </w:rPr>
              <w:t xml:space="preserve"> (50 Viljandi tee);</w:t>
            </w:r>
          </w:p>
          <w:p w14:paraId="6304ECA8" w14:textId="2C15BC1E"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71501:002:0484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Aindu</w:t>
            </w:r>
            <w:proofErr w:type="spellEnd"/>
            <w:r>
              <w:rPr>
                <w:rFonts w:ascii="Times New Roman" w:eastAsia="Times New Roman" w:hAnsi="Times New Roman" w:cs="Times New Roman"/>
                <w:sz w:val="24"/>
                <w:szCs w:val="24"/>
              </w:rPr>
              <w:t xml:space="preserve"> põld);</w:t>
            </w:r>
          </w:p>
          <w:p w14:paraId="25CA2349" w14:textId="685A4A0C" w:rsidR="00061167" w:rsidRPr="00E14161" w:rsidRDefault="00061167" w:rsidP="00A97EEB">
            <w:pPr>
              <w:jc w:val="both"/>
              <w:rPr>
                <w:rFonts w:ascii="Times New Roman" w:eastAsia="Times New Roman" w:hAnsi="Times New Roman" w:cs="Times New Roman"/>
                <w:sz w:val="24"/>
                <w:szCs w:val="24"/>
              </w:rPr>
            </w:pPr>
            <w:r>
              <w:rPr>
                <w:rFonts w:ascii="Times New Roman" w:hAnsi="Times New Roman" w:cs="Times New Roman"/>
                <w:sz w:val="24"/>
                <w:szCs w:val="24"/>
              </w:rPr>
              <w:t>*</w:t>
            </w:r>
            <w:r w:rsidRPr="00C73A22">
              <w:rPr>
                <w:rFonts w:ascii="Times New Roman" w:hAnsi="Times New Roman" w:cs="Times New Roman"/>
                <w:sz w:val="24"/>
                <w:szCs w:val="24"/>
              </w:rPr>
              <w:t>71501:002:0830</w:t>
            </w:r>
            <w:r>
              <w:rPr>
                <w:rFonts w:ascii="Times New Roman" w:hAnsi="Times New Roman" w:cs="Times New Roman"/>
                <w:sz w:val="24"/>
                <w:szCs w:val="24"/>
              </w:rPr>
              <w:t xml:space="preserve"> (Adra);</w:t>
            </w:r>
          </w:p>
          <w:p w14:paraId="18007974" w14:textId="79C63B01" w:rsidR="0098510C" w:rsidRDefault="0098510C" w:rsidP="00A97EEB">
            <w:pPr>
              <w:jc w:val="both"/>
              <w:rPr>
                <w:rFonts w:ascii="Times New Roman" w:hAnsi="Times New Roman" w:cs="Times New Roman"/>
                <w:sz w:val="24"/>
                <w:szCs w:val="24"/>
              </w:rPr>
            </w:pPr>
            <w:r>
              <w:rPr>
                <w:rFonts w:ascii="Times New Roman" w:hAnsi="Times New Roman" w:cs="Times New Roman"/>
                <w:sz w:val="24"/>
                <w:szCs w:val="24"/>
              </w:rPr>
              <w:t>*</w:t>
            </w:r>
            <w:r w:rsidRPr="00C73A22">
              <w:rPr>
                <w:rFonts w:ascii="Times New Roman" w:hAnsi="Times New Roman" w:cs="Times New Roman"/>
                <w:sz w:val="24"/>
                <w:szCs w:val="24"/>
              </w:rPr>
              <w:t>71501:002:0115</w:t>
            </w:r>
            <w:r w:rsidR="00061167">
              <w:rPr>
                <w:rFonts w:ascii="Times New Roman" w:hAnsi="Times New Roman" w:cs="Times New Roman"/>
                <w:sz w:val="24"/>
                <w:szCs w:val="24"/>
              </w:rPr>
              <w:t xml:space="preserve"> (Järvemäe)</w:t>
            </w:r>
            <w:r>
              <w:rPr>
                <w:rFonts w:ascii="Times New Roman" w:hAnsi="Times New Roman" w:cs="Times New Roman"/>
                <w:sz w:val="24"/>
                <w:szCs w:val="24"/>
              </w:rPr>
              <w:t>;</w:t>
            </w:r>
          </w:p>
          <w:p w14:paraId="7F0A1FCE" w14:textId="0EF930CE" w:rsidR="0098510C"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71501:002:0212</w:t>
            </w:r>
            <w:r>
              <w:rPr>
                <w:rFonts w:ascii="Times New Roman" w:eastAsia="Times New Roman" w:hAnsi="Times New Roman" w:cs="Times New Roman"/>
                <w:sz w:val="24"/>
                <w:szCs w:val="24"/>
              </w:rPr>
              <w:t xml:space="preserve"> (Küüni);</w:t>
            </w:r>
          </w:p>
          <w:p w14:paraId="7AC6BEB5" w14:textId="6F5E58E1"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71501:002:0213</w:t>
            </w:r>
            <w:r>
              <w:rPr>
                <w:rFonts w:ascii="Times New Roman" w:eastAsia="Times New Roman" w:hAnsi="Times New Roman" w:cs="Times New Roman"/>
                <w:sz w:val="24"/>
                <w:szCs w:val="24"/>
              </w:rPr>
              <w:t xml:space="preserve"> (Küüni-Järve);</w:t>
            </w:r>
          </w:p>
          <w:p w14:paraId="039BF98B" w14:textId="5D764232"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89901:001:0660</w:t>
            </w:r>
            <w:r>
              <w:rPr>
                <w:rFonts w:ascii="Times New Roman" w:eastAsia="Times New Roman" w:hAnsi="Times New Roman" w:cs="Times New Roman"/>
                <w:sz w:val="24"/>
                <w:szCs w:val="24"/>
              </w:rPr>
              <w:t xml:space="preserve"> (Pihlaka);</w:t>
            </w:r>
          </w:p>
          <w:p w14:paraId="646E0989" w14:textId="543EFE2B"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89901:001:0659</w:t>
            </w:r>
            <w:r>
              <w:rPr>
                <w:rFonts w:ascii="Times New Roman" w:eastAsia="Times New Roman" w:hAnsi="Times New Roman" w:cs="Times New Roman"/>
                <w:sz w:val="24"/>
                <w:szCs w:val="24"/>
              </w:rPr>
              <w:t xml:space="preserve"> (Arturi);</w:t>
            </w:r>
          </w:p>
          <w:p w14:paraId="79D06FEC" w14:textId="442576B3" w:rsidR="00061167" w:rsidRDefault="0006116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1167">
              <w:rPr>
                <w:rFonts w:ascii="Times New Roman" w:eastAsia="Times New Roman" w:hAnsi="Times New Roman" w:cs="Times New Roman"/>
                <w:sz w:val="24"/>
                <w:szCs w:val="24"/>
              </w:rPr>
              <w:t>71501:002:0210</w:t>
            </w:r>
            <w:r>
              <w:rPr>
                <w:rFonts w:ascii="Times New Roman" w:eastAsia="Times New Roman" w:hAnsi="Times New Roman" w:cs="Times New Roman"/>
                <w:sz w:val="24"/>
                <w:szCs w:val="24"/>
              </w:rPr>
              <w:t xml:space="preserve"> (Emma);</w:t>
            </w:r>
          </w:p>
          <w:p w14:paraId="61AB0D62" w14:textId="178D5966" w:rsidR="00CC4470" w:rsidRDefault="00CC4470"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4470">
              <w:rPr>
                <w:rFonts w:ascii="Times New Roman" w:eastAsia="Times New Roman" w:hAnsi="Times New Roman" w:cs="Times New Roman"/>
                <w:sz w:val="24"/>
                <w:szCs w:val="24"/>
              </w:rPr>
              <w:t>71501:002:0424</w:t>
            </w:r>
            <w:r>
              <w:rPr>
                <w:rFonts w:ascii="Times New Roman" w:eastAsia="Times New Roman" w:hAnsi="Times New Roman" w:cs="Times New Roman"/>
                <w:sz w:val="24"/>
                <w:szCs w:val="24"/>
              </w:rPr>
              <w:t xml:space="preserve"> (Vana-</w:t>
            </w:r>
            <w:proofErr w:type="spellStart"/>
            <w:r>
              <w:rPr>
                <w:rFonts w:ascii="Times New Roman" w:eastAsia="Times New Roman" w:hAnsi="Times New Roman" w:cs="Times New Roman"/>
                <w:sz w:val="24"/>
                <w:szCs w:val="24"/>
              </w:rPr>
              <w:t>Aindu</w:t>
            </w:r>
            <w:proofErr w:type="spellEnd"/>
            <w:r>
              <w:rPr>
                <w:rFonts w:ascii="Times New Roman" w:eastAsia="Times New Roman" w:hAnsi="Times New Roman" w:cs="Times New Roman"/>
                <w:sz w:val="24"/>
                <w:szCs w:val="24"/>
              </w:rPr>
              <w:t>);</w:t>
            </w:r>
          </w:p>
          <w:p w14:paraId="0A73D2CB" w14:textId="175B7DEC" w:rsidR="00CC4470" w:rsidRDefault="00CC4470"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4470">
              <w:rPr>
                <w:rFonts w:ascii="Times New Roman" w:eastAsia="Times New Roman" w:hAnsi="Times New Roman" w:cs="Times New Roman"/>
                <w:sz w:val="24"/>
                <w:szCs w:val="24"/>
              </w:rPr>
              <w:t>71501:002:0425</w:t>
            </w:r>
            <w:r>
              <w:rPr>
                <w:rFonts w:ascii="Times New Roman" w:eastAsia="Times New Roman" w:hAnsi="Times New Roman" w:cs="Times New Roman"/>
                <w:sz w:val="24"/>
                <w:szCs w:val="24"/>
              </w:rPr>
              <w:t xml:space="preserve"> (Marta);</w:t>
            </w:r>
          </w:p>
          <w:p w14:paraId="5F23B4E2" w14:textId="7B479B80" w:rsidR="00CC4470" w:rsidRDefault="00CC4470"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4470">
              <w:rPr>
                <w:rFonts w:ascii="Times New Roman" w:eastAsia="Times New Roman" w:hAnsi="Times New Roman" w:cs="Times New Roman"/>
                <w:sz w:val="24"/>
                <w:szCs w:val="24"/>
              </w:rPr>
              <w:t>71501:002:0211</w:t>
            </w:r>
            <w:r>
              <w:rPr>
                <w:rFonts w:ascii="Times New Roman" w:eastAsia="Times New Roman" w:hAnsi="Times New Roman" w:cs="Times New Roman"/>
                <w:sz w:val="24"/>
                <w:szCs w:val="24"/>
              </w:rPr>
              <w:t xml:space="preserve"> (Väike-</w:t>
            </w:r>
            <w:proofErr w:type="spellStart"/>
            <w:r>
              <w:rPr>
                <w:rFonts w:ascii="Times New Roman" w:eastAsia="Times New Roman" w:hAnsi="Times New Roman" w:cs="Times New Roman"/>
                <w:sz w:val="24"/>
                <w:szCs w:val="24"/>
              </w:rPr>
              <w:t>Aindu</w:t>
            </w:r>
            <w:proofErr w:type="spellEnd"/>
            <w:r>
              <w:rPr>
                <w:rFonts w:ascii="Times New Roman" w:eastAsia="Times New Roman" w:hAnsi="Times New Roman" w:cs="Times New Roman"/>
                <w:sz w:val="24"/>
                <w:szCs w:val="24"/>
              </w:rPr>
              <w:t>);</w:t>
            </w:r>
          </w:p>
          <w:p w14:paraId="45B8DE10" w14:textId="238CBCBA" w:rsidR="00CC4470" w:rsidRDefault="00CC4470"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4470">
              <w:rPr>
                <w:rFonts w:ascii="Times New Roman" w:eastAsia="Times New Roman" w:hAnsi="Times New Roman" w:cs="Times New Roman"/>
                <w:sz w:val="24"/>
                <w:szCs w:val="24"/>
              </w:rPr>
              <w:t>71501:001:0730</w:t>
            </w:r>
            <w:r>
              <w:rPr>
                <w:rFonts w:ascii="Times New Roman" w:eastAsia="Times New Roman" w:hAnsi="Times New Roman" w:cs="Times New Roman"/>
                <w:sz w:val="24"/>
                <w:szCs w:val="24"/>
              </w:rPr>
              <w:t xml:space="preserve"> (</w:t>
            </w:r>
            <w:r w:rsidRPr="00CC4470">
              <w:rPr>
                <w:rFonts w:ascii="Times New Roman" w:eastAsia="Times New Roman" w:hAnsi="Times New Roman" w:cs="Times New Roman"/>
                <w:sz w:val="24"/>
                <w:szCs w:val="24"/>
              </w:rPr>
              <w:t>49 Imavere - Viljandi - Karksi-Nuia tee</w:t>
            </w:r>
            <w:r>
              <w:rPr>
                <w:rFonts w:ascii="Times New Roman" w:eastAsia="Times New Roman" w:hAnsi="Times New Roman" w:cs="Times New Roman"/>
                <w:sz w:val="24"/>
                <w:szCs w:val="24"/>
              </w:rPr>
              <w:t>);</w:t>
            </w:r>
          </w:p>
          <w:p w14:paraId="41908A19" w14:textId="78E61928" w:rsidR="00970492" w:rsidRDefault="0097049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3F2FBD26" w14:textId="0D9F37AF" w:rsidR="00415FA6" w:rsidRPr="00176C0C" w:rsidRDefault="0057656F" w:rsidP="00867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Maa</w:t>
            </w:r>
            <w:r w:rsidR="00415FA6" w:rsidRPr="0057656F">
              <w:rPr>
                <w:rFonts w:ascii="Times New Roman" w:eastAsia="Times New Roman" w:hAnsi="Times New Roman" w:cs="Times New Roman"/>
                <w:sz w:val="24"/>
                <w:szCs w:val="24"/>
              </w:rPr>
              <w:t>- ja Ruumiamet (</w:t>
            </w:r>
            <w:r w:rsidRPr="0057656F">
              <w:rPr>
                <w:rFonts w:ascii="Times New Roman" w:eastAsia="Times New Roman" w:hAnsi="Times New Roman" w:cs="Times New Roman"/>
                <w:sz w:val="24"/>
                <w:szCs w:val="24"/>
              </w:rPr>
              <w:t xml:space="preserve">eelnevalt </w:t>
            </w:r>
            <w:r w:rsidR="00A04536" w:rsidRPr="0057656F">
              <w:rPr>
                <w:rFonts w:ascii="Times New Roman" w:hAnsi="Times New Roman" w:cs="Times New Roman"/>
                <w:sz w:val="24"/>
                <w:szCs w:val="24"/>
              </w:rPr>
              <w:t>Regionaal</w:t>
            </w:r>
            <w:r w:rsidR="00415FA6" w:rsidRPr="0057656F">
              <w:rPr>
                <w:rFonts w:ascii="Times New Roman" w:hAnsi="Times New Roman" w:cs="Times New Roman"/>
                <w:sz w:val="24"/>
                <w:szCs w:val="24"/>
              </w:rPr>
              <w:t xml:space="preserve">- ja </w:t>
            </w:r>
            <w:r w:rsidR="00A04536" w:rsidRPr="00176C0C">
              <w:rPr>
                <w:rFonts w:ascii="Times New Roman" w:hAnsi="Times New Roman" w:cs="Times New Roman"/>
                <w:sz w:val="24"/>
                <w:szCs w:val="24"/>
              </w:rPr>
              <w:t>Põllumajandus</w:t>
            </w:r>
            <w:r w:rsidR="00415FA6" w:rsidRPr="00176C0C">
              <w:rPr>
                <w:rFonts w:ascii="Times New Roman" w:hAnsi="Times New Roman" w:cs="Times New Roman"/>
                <w:sz w:val="24"/>
                <w:szCs w:val="24"/>
              </w:rPr>
              <w:t>ministeerium</w:t>
            </w:r>
            <w:r w:rsidR="00867CAD" w:rsidRPr="00176C0C">
              <w:rPr>
                <w:rFonts w:ascii="Times New Roman" w:hAnsi="Times New Roman" w:cs="Times New Roman"/>
                <w:sz w:val="24"/>
                <w:szCs w:val="24"/>
              </w:rPr>
              <w:t>; kohalike omavalitsuste planeeringute heakskiitmise osakond</w:t>
            </w:r>
            <w:r w:rsidR="00415FA6" w:rsidRPr="00176C0C">
              <w:rPr>
                <w:rFonts w:ascii="Times New Roman" w:hAnsi="Times New Roman" w:cs="Times New Roman"/>
                <w:sz w:val="24"/>
                <w:szCs w:val="24"/>
              </w:rPr>
              <w:t>)</w:t>
            </w:r>
            <w:r w:rsidR="00415FA6" w:rsidRPr="00176C0C">
              <w:rPr>
                <w:rFonts w:ascii="Times New Roman" w:eastAsia="Times New Roman" w:hAnsi="Times New Roman" w:cs="Times New Roman"/>
                <w:sz w:val="24"/>
                <w:szCs w:val="24"/>
              </w:rPr>
              <w:t>;</w:t>
            </w:r>
          </w:p>
          <w:p w14:paraId="1752894F" w14:textId="11BC50D7" w:rsidR="005660FE" w:rsidRPr="00E239E2" w:rsidRDefault="005660FE" w:rsidP="0057656F">
            <w:pPr>
              <w:rPr>
                <w:rFonts w:ascii="Times New Roman" w:eastAsia="Times New Roman" w:hAnsi="Times New Roman" w:cs="Times New Roman"/>
                <w:sz w:val="24"/>
                <w:szCs w:val="24"/>
              </w:rPr>
            </w:pPr>
            <w:r w:rsidRPr="00176C0C">
              <w:rPr>
                <w:rFonts w:ascii="Times New Roman" w:eastAsia="Times New Roman" w:hAnsi="Times New Roman" w:cs="Times New Roman"/>
                <w:sz w:val="24"/>
                <w:szCs w:val="24"/>
              </w:rPr>
              <w:t>* Regionaal- ja Põllumajandusministeerium (maapoliitika ja riigivara osakond);</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7BE5" w14:textId="77777777" w:rsidR="00A8315B" w:rsidRDefault="00A8315B" w:rsidP="009D0AAB">
      <w:pPr>
        <w:spacing w:after="0" w:line="240" w:lineRule="auto"/>
      </w:pPr>
      <w:r>
        <w:separator/>
      </w:r>
    </w:p>
  </w:endnote>
  <w:endnote w:type="continuationSeparator" w:id="0">
    <w:p w14:paraId="2B4B9F22" w14:textId="77777777" w:rsidR="00A8315B" w:rsidRDefault="00A8315B"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08F2" w14:textId="77777777" w:rsidR="00A8315B" w:rsidRDefault="00A8315B" w:rsidP="009D0AAB">
      <w:pPr>
        <w:spacing w:after="0" w:line="240" w:lineRule="auto"/>
      </w:pPr>
      <w:r>
        <w:separator/>
      </w:r>
    </w:p>
  </w:footnote>
  <w:footnote w:type="continuationSeparator" w:id="0">
    <w:p w14:paraId="4EB23BD9" w14:textId="77777777" w:rsidR="00A8315B" w:rsidRDefault="00A8315B"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6879A878"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Vallav</w:t>
    </w:r>
    <w:r w:rsidR="00F647D9">
      <w:rPr>
        <w:rFonts w:ascii="Times New Roman" w:hAnsi="Times New Roman" w:cs="Times New Roman"/>
        <w:sz w:val="20"/>
        <w:szCs w:val="20"/>
      </w:rPr>
      <w:t>olikogu</w:t>
    </w:r>
    <w:r w:rsidRPr="009D0AAB">
      <w:rPr>
        <w:rFonts w:ascii="Times New Roman" w:hAnsi="Times New Roman" w:cs="Times New Roman"/>
        <w:sz w:val="20"/>
        <w:szCs w:val="20"/>
      </w:rPr>
      <w:t xml:space="preserve"> </w:t>
    </w:r>
    <w:r w:rsidR="00725878">
      <w:rPr>
        <w:rFonts w:ascii="Times New Roman" w:hAnsi="Times New Roman" w:cs="Times New Roman"/>
        <w:sz w:val="20"/>
        <w:szCs w:val="20"/>
      </w:rPr>
      <w:t>2</w:t>
    </w:r>
    <w:r w:rsidR="00EA3029">
      <w:rPr>
        <w:rFonts w:ascii="Times New Roman" w:hAnsi="Times New Roman" w:cs="Times New Roman"/>
        <w:sz w:val="20"/>
        <w:szCs w:val="20"/>
      </w:rPr>
      <w:t>5</w:t>
    </w:r>
    <w:r w:rsidR="00725878">
      <w:rPr>
        <w:rFonts w:ascii="Times New Roman" w:hAnsi="Times New Roman" w:cs="Times New Roman"/>
        <w:sz w:val="20"/>
        <w:szCs w:val="20"/>
      </w:rPr>
      <w:t>.</w:t>
    </w:r>
    <w:r w:rsidR="0057656F">
      <w:rPr>
        <w:rFonts w:ascii="Times New Roman" w:hAnsi="Times New Roman" w:cs="Times New Roman"/>
        <w:sz w:val="20"/>
        <w:szCs w:val="20"/>
      </w:rPr>
      <w:t>0</w:t>
    </w:r>
    <w:r w:rsidR="00EA3029">
      <w:rPr>
        <w:rFonts w:ascii="Times New Roman" w:hAnsi="Times New Roman" w:cs="Times New Roman"/>
        <w:sz w:val="20"/>
        <w:szCs w:val="20"/>
      </w:rPr>
      <w:t>9</w:t>
    </w:r>
    <w:r w:rsidR="0057656F">
      <w:rPr>
        <w:rFonts w:ascii="Times New Roman" w:hAnsi="Times New Roman" w:cs="Times New Roman"/>
        <w:sz w:val="20"/>
        <w:szCs w:val="20"/>
      </w:rPr>
      <w:t>.</w:t>
    </w:r>
    <w:r w:rsidRPr="009D0AAB">
      <w:rPr>
        <w:rFonts w:ascii="Times New Roman" w:hAnsi="Times New Roman" w:cs="Times New Roman"/>
        <w:sz w:val="20"/>
        <w:szCs w:val="20"/>
      </w:rPr>
      <w:t>202</w:t>
    </w:r>
    <w:r w:rsidR="0057656F">
      <w:rPr>
        <w:rFonts w:ascii="Times New Roman" w:hAnsi="Times New Roman" w:cs="Times New Roman"/>
        <w:sz w:val="20"/>
        <w:szCs w:val="20"/>
      </w:rPr>
      <w:t>5</w:t>
    </w:r>
  </w:p>
  <w:p w14:paraId="5191DDAA" w14:textId="20C51FE1" w:rsidR="009D0AAB" w:rsidRPr="009D0AAB" w:rsidRDefault="00F647D9" w:rsidP="009D0AAB">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w:t>
    </w:r>
    <w:r w:rsidR="00794779">
      <w:rPr>
        <w:rFonts w:ascii="Times New Roman" w:hAnsi="Times New Roman" w:cs="Times New Roman"/>
        <w:sz w:val="20"/>
        <w:szCs w:val="20"/>
      </w:rPr>
      <w:t>322</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5734"/>
    <w:rsid w:val="00007A60"/>
    <w:rsid w:val="00041495"/>
    <w:rsid w:val="00061167"/>
    <w:rsid w:val="00066A65"/>
    <w:rsid w:val="00071158"/>
    <w:rsid w:val="00094BF3"/>
    <w:rsid w:val="000F2537"/>
    <w:rsid w:val="00100A07"/>
    <w:rsid w:val="001059B3"/>
    <w:rsid w:val="0011091F"/>
    <w:rsid w:val="00144ADF"/>
    <w:rsid w:val="0017117F"/>
    <w:rsid w:val="00171ADE"/>
    <w:rsid w:val="00176C0C"/>
    <w:rsid w:val="0018559B"/>
    <w:rsid w:val="00195058"/>
    <w:rsid w:val="0019736C"/>
    <w:rsid w:val="001A1F15"/>
    <w:rsid w:val="001E0ECE"/>
    <w:rsid w:val="001F3895"/>
    <w:rsid w:val="001F4C03"/>
    <w:rsid w:val="00222B16"/>
    <w:rsid w:val="0022397E"/>
    <w:rsid w:val="00233776"/>
    <w:rsid w:val="00241E5D"/>
    <w:rsid w:val="00265478"/>
    <w:rsid w:val="0027539F"/>
    <w:rsid w:val="00296C9A"/>
    <w:rsid w:val="002A01C8"/>
    <w:rsid w:val="002B735C"/>
    <w:rsid w:val="002F5DE3"/>
    <w:rsid w:val="0031754D"/>
    <w:rsid w:val="00327F1E"/>
    <w:rsid w:val="003311AA"/>
    <w:rsid w:val="00346C75"/>
    <w:rsid w:val="003471F0"/>
    <w:rsid w:val="00396386"/>
    <w:rsid w:val="003D4BCB"/>
    <w:rsid w:val="003F09AB"/>
    <w:rsid w:val="00401095"/>
    <w:rsid w:val="00405288"/>
    <w:rsid w:val="00407365"/>
    <w:rsid w:val="00415FA6"/>
    <w:rsid w:val="00421420"/>
    <w:rsid w:val="004525AE"/>
    <w:rsid w:val="0048558A"/>
    <w:rsid w:val="00485631"/>
    <w:rsid w:val="004A3533"/>
    <w:rsid w:val="004C1284"/>
    <w:rsid w:val="004E0E31"/>
    <w:rsid w:val="004F6578"/>
    <w:rsid w:val="004F6790"/>
    <w:rsid w:val="0050656F"/>
    <w:rsid w:val="00544B27"/>
    <w:rsid w:val="005455A7"/>
    <w:rsid w:val="005660FE"/>
    <w:rsid w:val="005712BF"/>
    <w:rsid w:val="0057656F"/>
    <w:rsid w:val="00582827"/>
    <w:rsid w:val="005909FF"/>
    <w:rsid w:val="005A6796"/>
    <w:rsid w:val="005B45B8"/>
    <w:rsid w:val="005F31C8"/>
    <w:rsid w:val="005F6090"/>
    <w:rsid w:val="0061188C"/>
    <w:rsid w:val="00644404"/>
    <w:rsid w:val="006515F1"/>
    <w:rsid w:val="0065684F"/>
    <w:rsid w:val="006643FA"/>
    <w:rsid w:val="00664BFE"/>
    <w:rsid w:val="00666FF6"/>
    <w:rsid w:val="00667C0D"/>
    <w:rsid w:val="006A2B14"/>
    <w:rsid w:val="006A6CF0"/>
    <w:rsid w:val="006C2AAF"/>
    <w:rsid w:val="006C746C"/>
    <w:rsid w:val="006C7672"/>
    <w:rsid w:val="006E1529"/>
    <w:rsid w:val="00703484"/>
    <w:rsid w:val="0070531C"/>
    <w:rsid w:val="00725878"/>
    <w:rsid w:val="00726CD2"/>
    <w:rsid w:val="007473CF"/>
    <w:rsid w:val="007544EA"/>
    <w:rsid w:val="00763BB0"/>
    <w:rsid w:val="00763EF1"/>
    <w:rsid w:val="00764847"/>
    <w:rsid w:val="00782431"/>
    <w:rsid w:val="00794779"/>
    <w:rsid w:val="007A7319"/>
    <w:rsid w:val="007B3179"/>
    <w:rsid w:val="007C77E3"/>
    <w:rsid w:val="007D0C1D"/>
    <w:rsid w:val="007E1EE5"/>
    <w:rsid w:val="007E3B9E"/>
    <w:rsid w:val="00803391"/>
    <w:rsid w:val="00804339"/>
    <w:rsid w:val="00812239"/>
    <w:rsid w:val="00834134"/>
    <w:rsid w:val="008426E2"/>
    <w:rsid w:val="0085689F"/>
    <w:rsid w:val="0086017A"/>
    <w:rsid w:val="00867CAD"/>
    <w:rsid w:val="00882D32"/>
    <w:rsid w:val="00884A0F"/>
    <w:rsid w:val="00897224"/>
    <w:rsid w:val="008979B4"/>
    <w:rsid w:val="008B1B0D"/>
    <w:rsid w:val="008D3A81"/>
    <w:rsid w:val="008E0042"/>
    <w:rsid w:val="008E2D3C"/>
    <w:rsid w:val="008E5643"/>
    <w:rsid w:val="00906706"/>
    <w:rsid w:val="009407DE"/>
    <w:rsid w:val="00953B4B"/>
    <w:rsid w:val="00962EA1"/>
    <w:rsid w:val="00970492"/>
    <w:rsid w:val="0098510C"/>
    <w:rsid w:val="00986FDB"/>
    <w:rsid w:val="009A49E7"/>
    <w:rsid w:val="009D0AAB"/>
    <w:rsid w:val="009E694D"/>
    <w:rsid w:val="009F5699"/>
    <w:rsid w:val="00A04536"/>
    <w:rsid w:val="00A345C2"/>
    <w:rsid w:val="00A471F8"/>
    <w:rsid w:val="00A70A49"/>
    <w:rsid w:val="00A7465B"/>
    <w:rsid w:val="00A767C4"/>
    <w:rsid w:val="00A826D2"/>
    <w:rsid w:val="00A8315B"/>
    <w:rsid w:val="00A84EC6"/>
    <w:rsid w:val="00A95C9A"/>
    <w:rsid w:val="00AB031B"/>
    <w:rsid w:val="00AB26E7"/>
    <w:rsid w:val="00AD6411"/>
    <w:rsid w:val="00AF7350"/>
    <w:rsid w:val="00AF7C38"/>
    <w:rsid w:val="00B1029A"/>
    <w:rsid w:val="00B160A1"/>
    <w:rsid w:val="00B21E29"/>
    <w:rsid w:val="00B25194"/>
    <w:rsid w:val="00B51409"/>
    <w:rsid w:val="00B56A3E"/>
    <w:rsid w:val="00B634E9"/>
    <w:rsid w:val="00B77675"/>
    <w:rsid w:val="00B81DC8"/>
    <w:rsid w:val="00B846D6"/>
    <w:rsid w:val="00B9229D"/>
    <w:rsid w:val="00BA4BC9"/>
    <w:rsid w:val="00BB399C"/>
    <w:rsid w:val="00BC1CFD"/>
    <w:rsid w:val="00BC3242"/>
    <w:rsid w:val="00BC7E17"/>
    <w:rsid w:val="00BD010E"/>
    <w:rsid w:val="00BE03E7"/>
    <w:rsid w:val="00C03181"/>
    <w:rsid w:val="00C03278"/>
    <w:rsid w:val="00C21E0D"/>
    <w:rsid w:val="00C2302A"/>
    <w:rsid w:val="00C778B7"/>
    <w:rsid w:val="00C81D3D"/>
    <w:rsid w:val="00C861E5"/>
    <w:rsid w:val="00C97D98"/>
    <w:rsid w:val="00CA352A"/>
    <w:rsid w:val="00CA3F7F"/>
    <w:rsid w:val="00CC4470"/>
    <w:rsid w:val="00CD0B98"/>
    <w:rsid w:val="00CF15FA"/>
    <w:rsid w:val="00D109F6"/>
    <w:rsid w:val="00D2677D"/>
    <w:rsid w:val="00D45AF9"/>
    <w:rsid w:val="00D625D4"/>
    <w:rsid w:val="00D836F0"/>
    <w:rsid w:val="00D860F5"/>
    <w:rsid w:val="00DA4B15"/>
    <w:rsid w:val="00DB53DF"/>
    <w:rsid w:val="00DB5D4D"/>
    <w:rsid w:val="00DB6B78"/>
    <w:rsid w:val="00E055BA"/>
    <w:rsid w:val="00E14161"/>
    <w:rsid w:val="00E14681"/>
    <w:rsid w:val="00E1498D"/>
    <w:rsid w:val="00E21D00"/>
    <w:rsid w:val="00E239E2"/>
    <w:rsid w:val="00E4793A"/>
    <w:rsid w:val="00EA01D5"/>
    <w:rsid w:val="00EA3029"/>
    <w:rsid w:val="00EE2A19"/>
    <w:rsid w:val="00EE7F76"/>
    <w:rsid w:val="00EF4793"/>
    <w:rsid w:val="00F12230"/>
    <w:rsid w:val="00F12E09"/>
    <w:rsid w:val="00F20B6D"/>
    <w:rsid w:val="00F57EFE"/>
    <w:rsid w:val="00F647D9"/>
    <w:rsid w:val="00FA2D71"/>
    <w:rsid w:val="00FA2F99"/>
    <w:rsid w:val="00FA6EFF"/>
    <w:rsid w:val="00FA7907"/>
    <w:rsid w:val="00FB179D"/>
    <w:rsid w:val="00FB25F7"/>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semiHidden/>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1153</Words>
  <Characters>6692</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Ülle Riiner</cp:lastModifiedBy>
  <cp:revision>19</cp:revision>
  <cp:lastPrinted>2022-09-12T05:55:00Z</cp:lastPrinted>
  <dcterms:created xsi:type="dcterms:W3CDTF">2025-05-29T10:51:00Z</dcterms:created>
  <dcterms:modified xsi:type="dcterms:W3CDTF">2025-09-26T06:05:00Z</dcterms:modified>
</cp:coreProperties>
</file>